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64" w:lineRule="auto"/>
      </w:pPr>
      <w:r>
        <w:rPr>
          <w:rFonts w:ascii="Noto Sans" w:hAnsi="Noto Sans" w:cs="Noto Sans" w:eastAsia="Noto Sans"/>
        </w:rPr>
        <w:t>Arch Dam coffee table review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2"/>
        </w:rPr>
        <w:t>Y-CJ44-L · Large · RC-T01 Rev 01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/>
          <w:sz w:val="24"/>
        </w:rPr>
        <w:t>Status: technical clarification required before approval.</w:t>
      </w:r>
    </w:p>
    <w:p>
      <w:pPr>
        <w:spacing w:line="264" w:lineRule="auto"/>
      </w:pPr>
      <w:r>
        <w:rPr>
          <w:rFonts w:ascii="Noto Sans" w:hAnsi="Noto Sans" w:cs="Noto Sans" w:eastAsia="Noto Sans"/>
        </w:rPr>
        <w:drawing>
          <wp:inline xmlns:a="http://schemas.openxmlformats.org/drawingml/2006/main" xmlns:pic="http://schemas.openxmlformats.org/drawingml/2006/picture">
            <wp:extent cx="5577840" cy="448841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h-dam-coffee-table-lar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4884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0"/>
        </w:rPr>
        <w:t>Selected item: large foreground table only. Small background table and styling objects are excluded. Do not derive dimensions from the photograph.</w:t>
      </w:r>
    </w:p>
    <w:p>
      <w:pPr>
        <w:pStyle w:val="Heading1"/>
        <w:spacing w:line="264" w:lineRule="auto"/>
      </w:pPr>
      <w:r>
        <w:rPr>
          <w:rFonts w:ascii="Noto Sans" w:hAnsi="Noto Sans" w:cs="Noto Sans" w:eastAsia="Noto Sans"/>
        </w:rPr>
        <w:t>Overall source dimensions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/>
          <w:sz w:val="40"/>
        </w:rPr>
        <w:t>90 × 100 × 30.5 cm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2"/>
        </w:rPr>
        <w:t>Shown as width × depth × height. Confirm dimension order, tolerances and exact outline on a supplier drawing. The PDF includes an illustrative envelope, not manufacturing geometry.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0"/>
        </w:rPr>
        <w:t>Source: fictional Qimu Living Demo, Living Room Series, A110:J111.</w:t>
      </w:r>
    </w:p>
    <w:p>
      <w:pPr>
        <w:spacing w:line="264" w:lineRule="auto"/>
      </w:pPr>
      <w:r>
        <w:rPr>
          <w:rFonts w:ascii="Noto Sans" w:hAnsi="Noto Sans" w:cs="Noto Sans" w:eastAsia="Noto Sans"/>
        </w:rPr>
        <w:br w:type="page"/>
      </w:r>
    </w:p>
    <w:p>
      <w:pPr>
        <w:pStyle w:val="Title"/>
        <w:spacing w:line="264" w:lineRule="auto"/>
      </w:pPr>
      <w:r>
        <w:rPr>
          <w:rFonts w:ascii="Noto Sans" w:hAnsi="Noto Sans" w:cs="Noto Sans" w:eastAsia="Noto Sans"/>
        </w:rPr>
        <w:t>Materials and review sign off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2"/>
        </w:rPr>
        <w:t>Terrazzo surface · sample code pending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2"/>
        </w:rPr>
        <w:t>Solid wood frame · species pending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2"/>
        </w:rPr>
        <w:t>Piano-gloss lacquer · finish code pending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2"/>
        </w:rPr>
        <w:t>Ivory surface and warm gray-green base in fixture</w:t>
      </w:r>
    </w:p>
    <w:p>
      <w:pPr>
        <w:pStyle w:val="Heading1"/>
        <w:spacing w:line="264" w:lineRule="auto"/>
      </w:pPr>
      <w:r>
        <w:rPr>
          <w:rFonts w:ascii="Noto Sans" w:hAnsi="Noto Sans" w:cs="Noto Sans" w:eastAsia="Noto Sans"/>
        </w:rPr>
        <w:t>Questions blocking approval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2"/>
        </w:rPr>
        <w:t>Confirm overall dimension order and tolerances.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2"/>
        </w:rPr>
        <w:t>Provide terrazzo and lacquer samples with codes.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2"/>
        </w:rPr>
        <w:t>Confirm edge profile, assembly and maintenance.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2"/>
        </w:rPr>
        <w:t>Provide project-specific performance evidence if required.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0"/>
        </w:rPr>
        <w:t>No load rating, fire classification or certification is established. RC-T01 is an internal reference, not a manufacturer finish code.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2"/>
        </w:rPr>
        <w:t>Reviewed by __________________    Date __________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2"/>
        </w:rPr>
        <w:t>Decision _____________________    Revision ______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64" w:lineRule="auto"/>
    </w:pPr>
    <w:r>
      <w:rPr>
        <w:rFonts w:ascii="Noto Sans" w:hAnsi="Noto Sans" w:cs="Noto Sans" w:eastAsia="Noto Sans"/>
        <w:sz w:val="16"/>
      </w:rPr>
      <w:t>SKULINKER · FICTIONAL DEMO · 2026-10-23 · REV 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 Unicode MS" w:hAnsi="Arial Unicode MS" w:eastAsia="Arial Unicode MS"/>
      <w:color w:val="252A2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Arial Unicode MS" w:hAnsi="Arial Unicode MS" w:eastAsia="Arial Unicode MS"/>
      <w:b/>
      <w:bCs/>
      <w:color w:val="252A2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 Unicode MS" w:hAnsi="Arial Unicode MS" w:eastAsia="Arial Unicode MS"/>
      <w:b/>
      <w:bCs/>
      <w:color w:val="252A25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 w:ascii="Arial Unicode MS" w:hAnsi="Arial Unicode MS" w:eastAsia="Arial Unicode MS"/>
      <w:color w:val="252A2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Skulinker Demo product document</dc:title>
  <dc:subject/>
  <dc:creator>Skulinker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