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64" w:lineRule="auto"/>
      </w:pPr>
      <w:r>
        <w:rPr>
          <w:rFonts w:ascii="Arial Unicode MS" w:hAnsi="Arial Unicode MS" w:cs="Arial Unicode MS" w:eastAsia="Arial Unicode MS"/>
        </w:rPr>
        <w:t>拱坝大茶几技术确认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Y-CJ44-L · 大款 · RC-T01 版本 01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/>
          <w:sz w:val="24"/>
        </w:rPr>
        <w:t>状态：技术资料待确认，暂不批准。</w:t>
      </w:r>
    </w:p>
    <w:p>
      <w:pPr>
        <w:spacing w:line="264" w:lineRule="auto"/>
      </w:pPr>
      <w:r>
        <w:rPr>
          <w:rFonts w:ascii="Arial Unicode MS" w:hAnsi="Arial Unicode MS" w:cs="Arial Unicode MS" w:eastAsia="Arial Unicode MS"/>
        </w:rPr>
        <w:drawing>
          <wp:inline xmlns:a="http://schemas.openxmlformats.org/drawingml/2006/main" xmlns:pic="http://schemas.openxmlformats.org/drawingml/2006/picture">
            <wp:extent cx="5577840" cy="44884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-dam-coffee-table-lar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488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0"/>
        </w:rPr>
        <w:t>选定范围仅前景大桌；背景小桌与陈列道具不在范围内，不通过照片推算尺寸。</w:t>
      </w:r>
    </w:p>
    <w:p>
      <w:pPr>
        <w:pStyle w:val="Heading1"/>
        <w:spacing w:line="264" w:lineRule="auto"/>
      </w:pPr>
      <w:r>
        <w:rPr>
          <w:rFonts w:ascii="Arial Unicode MS" w:hAnsi="Arial Unicode MS" w:cs="Arial Unicode MS" w:eastAsia="Arial Unicode MS"/>
        </w:rPr>
        <w:t>来源整体尺寸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/>
          <w:sz w:val="40"/>
        </w:rPr>
        <w:t>90 × 100 × 30.5 cm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按宽×深×高展示。尺寸顺序、公差、确切外廓需要供应商图纸确认。PDF 附概念外廓，不是制造几何。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0"/>
        </w:rPr>
        <w:t>来源：虚构栖木家居 Demo，客厅系列 A110:J111。</w:t>
      </w:r>
    </w:p>
    <w:p>
      <w:pPr>
        <w:spacing w:line="264" w:lineRule="auto"/>
      </w:pPr>
      <w:r>
        <w:rPr>
          <w:rFonts w:ascii="Arial Unicode MS" w:hAnsi="Arial Unicode MS" w:cs="Arial Unicode MS" w:eastAsia="Arial Unicode MS"/>
        </w:rPr>
        <w:br w:type="page"/>
      </w:r>
    </w:p>
    <w:p>
      <w:pPr>
        <w:pStyle w:val="Title"/>
        <w:spacing w:line="264" w:lineRule="auto"/>
      </w:pPr>
      <w:r>
        <w:rPr>
          <w:rFonts w:ascii="Arial Unicode MS" w:hAnsi="Arial Unicode MS" w:cs="Arial Unicode MS" w:eastAsia="Arial Unicode MS"/>
        </w:rPr>
        <w:t>材料记录与复核签注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水磨石饰面 · 样板编号待确认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实木几架 · 树种待确认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钢琴亮光烤漆 · 饰面编号待确认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Demo 记录米白台面与暖灰绿几架</w:t>
      </w:r>
    </w:p>
    <w:p>
      <w:pPr>
        <w:pStyle w:val="Heading1"/>
        <w:spacing w:line="264" w:lineRule="auto"/>
      </w:pPr>
      <w:r>
        <w:rPr>
          <w:rFonts w:ascii="Arial Unicode MS" w:hAnsi="Arial Unicode MS" w:cs="Arial Unicode MS" w:eastAsia="Arial Unicode MS"/>
        </w:rPr>
        <w:t>影响批准的问题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确认整体尺寸顺序与公差。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提供水磨石与烤漆样板及编号。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确认边缘做法、安装与保养说明。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如项目要求，补充相关性能资料。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0"/>
        </w:rPr>
        <w:t>未建立承重、阻燃或认证结论。RC-T01 是内部编号，不是厂家饰面代码。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复核人 __________________    日期 __________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结论 ____________________    修订号 __________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64" w:lineRule="auto"/>
    </w:pPr>
    <w:r>
      <w:rPr>
        <w:rFonts w:ascii="Arial Unicode MS" w:hAnsi="Arial Unicode MS" w:cs="Arial Unicode MS" w:eastAsia="Arial Unicode MS"/>
        <w:sz w:val="16"/>
      </w:rPr>
      <w:t>SKULINKER · 虚构演示 · 2026-10-23 · 版本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 Unicode MS" w:hAnsi="Arial Unicode MS" w:eastAsia="Arial Unicode MS"/>
      <w:color w:val="252A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 Unicode MS" w:hAnsi="Arial Unicode MS" w:eastAsia="Arial Unicode MS"/>
      <w:b/>
      <w:bCs/>
      <w:color w:val="252A2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 Unicode MS" w:hAnsi="Arial Unicode MS" w:eastAsia="Arial Unicode MS"/>
      <w:b/>
      <w:bCs/>
      <w:color w:val="252A2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 Unicode MS" w:hAnsi="Arial Unicode MS" w:eastAsia="Arial Unicode MS"/>
      <w:color w:val="252A2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Skulinker Demo product document</dc:title>
  <dc:subject/>
  <dc:creator>Skulinker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